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竞争性磋商文件</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（服务）</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项目编号：JSZC-320111-NJZZ-C2025-0069</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项目名称：2025年浦口智慧旅游平台数据资源及保障服务采购</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（非专门面向中小企业）</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6"/>
        </w:rPr>
        <w:t xml:space="preserve"> </w:t>
      </w:r>
      <w:r/>
    </w:p>
    <w:p>
      <w:pPr>
        <w:ind w:left="0" w:right="0" w:firstLine="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采购人：南京市浦口区文化和旅游局</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2025年11月</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磋商邀请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南京众智工程咨询有限公司</w:t>
      </w:r>
      <w:r>
        <w:rPr>
          <w:rFonts w:ascii="SimSun" w:hAnsi="SimSun" w:eastAsia="SimSun" w:cs="SimSun"/>
          <w:color w:val="000000"/>
          <w:sz w:val="21"/>
        </w:rPr>
        <w:t xml:space="preserve">（以下简称“代理机构”）受</w:t>
      </w:r>
      <w:r>
        <w:rPr>
          <w:rFonts w:ascii="SimSun" w:hAnsi="SimSun" w:eastAsia="SimSun" w:cs="SimSun"/>
          <w:color w:val="000000"/>
          <w:sz w:val="21"/>
          <w:u w:val="single"/>
        </w:rPr>
        <w:t xml:space="preserve">南京市浦口区文化和旅游局</w:t>
      </w:r>
      <w:r>
        <w:rPr>
          <w:rFonts w:ascii="SimSun" w:hAnsi="SimSun" w:eastAsia="SimSun" w:cs="SimSun"/>
          <w:color w:val="000000"/>
          <w:sz w:val="21"/>
        </w:rPr>
        <w:t xml:space="preserve">(单位名称，以下简</w:t>
      </w:r>
      <w:r>
        <w:rPr>
          <w:rFonts w:ascii="SimSun" w:hAnsi="SimSun" w:eastAsia="SimSun" w:cs="SimSun"/>
          <w:color w:val="000000"/>
          <w:sz w:val="21"/>
          <w:u w:val="none"/>
        </w:rPr>
        <w:t xml:space="preserve">称“采购人”）委托，就</w:t>
      </w:r>
      <w:r>
        <w:rPr>
          <w:rFonts w:ascii="SimSun" w:hAnsi="SimSun" w:eastAsia="SimSun" w:cs="SimSun"/>
          <w:color w:val="000000"/>
          <w:sz w:val="21"/>
          <w:u w:val="single"/>
        </w:rPr>
        <w:t xml:space="preserve">2025年浦口智慧旅游平台数据资源及保障服务采购</w:t>
      </w:r>
      <w:r>
        <w:rPr>
          <w:rFonts w:ascii="SimSun" w:hAnsi="SimSun" w:eastAsia="SimSun" w:cs="SimSun"/>
          <w:color w:val="000000"/>
          <w:sz w:val="21"/>
        </w:rPr>
        <w:t xml:space="preserve">（项目名称）进行竞争性磋商采购，兹邀请符合资格条件的供应商提交响应文件。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1.项目编号：JSZC-320111-NJZZ-C2025-0069</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2.项目名称：2025年浦口智慧旅游平台数据资源及保障服务采购</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3.项目预算：</w:t>
      </w:r>
      <w:r>
        <w:rPr>
          <w:rFonts w:ascii="SimSun" w:hAnsi="SimSun" w:eastAsia="SimSun" w:cs="SimSun"/>
          <w:color w:val="000000"/>
          <w:sz w:val="21"/>
          <w:u w:val="single"/>
        </w:rPr>
        <w:t xml:space="preserve">65</w:t>
      </w:r>
      <w:r>
        <w:rPr>
          <w:rFonts w:ascii="SimSun" w:hAnsi="SimSun" w:eastAsia="SimSun" w:cs="SimSun"/>
          <w:color w:val="000000"/>
          <w:sz w:val="21"/>
        </w:rPr>
        <w:t xml:space="preserve">万元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4.本项目设定最高限价为</w:t>
      </w:r>
      <w:r>
        <w:rPr>
          <w:rFonts w:ascii="SimSun" w:hAnsi="SimSun" w:eastAsia="SimSun" w:cs="SimSun"/>
          <w:color w:val="000000"/>
          <w:sz w:val="21"/>
          <w:u w:val="single"/>
        </w:rPr>
        <w:t xml:space="preserve">65</w:t>
      </w:r>
      <w:r>
        <w:rPr>
          <w:rFonts w:ascii="SimSun" w:hAnsi="SimSun" w:eastAsia="SimSun" w:cs="SimSun"/>
          <w:color w:val="000000"/>
          <w:sz w:val="21"/>
        </w:rPr>
        <w:t xml:space="preserve">万元。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为进一步提升浦口区智慧旅游管理科学化和智能化水平，利用行业优势多渠道采集数据，实现浦口区旅游市场营销精准化和产品与服务个性化推荐，不断提高浦口区旅游市场营销的效能化。同时，通过对相关数据分析、研判，真正实现浦口区对多层级部门数据的互联互通。（详细内容见本磋商文件第四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6.合同履行期限：合同生效之日起一年。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7.本项目(是/否)接受联合体投标：否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（一）满足《中华人民共和国政府采购法》第二十二条规定，并提供下列材料：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3.具有履行合同所必需的设备和专业技术能力（根据项目需求提供履行合同所必需的设备和专业技术能力的证明材料或承诺书原件）；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4.参加政府采购活动前三年内，在经营活动中没有重大违法记录（提供参加本次政府采购活动前3年内在经营活动中没有重大违法记录的书面声明）；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5.有依法缴纳税收和社会保障资金的良好记录（提供参加本次政府采购活动前一年内（至少一个月）依法缴纳税收和社会保障资金的相关材料复印件加盖供应商公章）；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6.法律、行政法规规定的其他条件（提供项目实施所必须的许可资质证明材料）：无。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（二）落实政府采购政策需满足的资格要求：（如属于专门面向中小企业采购的项目，供应商应为中小微企业、监狱企业、残疾人福利性单位）：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本项目按照采用以下第</w:t>
      </w:r>
      <w:r>
        <w:rPr>
          <w:rFonts w:ascii="SimSun" w:hAnsi="SimSun" w:eastAsia="SimSun" w:cs="SimSun"/>
          <w:color w:val="000000"/>
          <w:sz w:val="21"/>
          <w:u w:val="single"/>
        </w:rPr>
        <w:t xml:space="preserve">（4）</w:t>
      </w:r>
      <w:r>
        <w:rPr>
          <w:rFonts w:ascii="SimSun" w:hAnsi="SimSun" w:eastAsia="SimSun" w:cs="SimSun"/>
          <w:color w:val="000000"/>
          <w:sz w:val="21"/>
        </w:rPr>
        <w:t xml:space="preserve">种方式落实政府采购促进中小企业发展的要求：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 ）种方式预留部分采购份额采购中小企业服务：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①本项目要求供应商以联合体形式参加，中小企业合同金额应当达到的比例为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②本项目要求供应商进行合同分包，中小企业合同金额应当达到的比例为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（4）本项目为非预留份额的采购项目或采购包，执行价格扣除优惠政策，具体详见第三章评审办法与标准。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（三）本项目特定资格要求：无。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三、获取磋商文件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1.时间：自磋商文件公告发布之日起5个工作日</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2.地点：“江苏省政府采购网”</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四、提交响应文件时间、评审时间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1.提交响应文件截止时间：2025年11月27日10点00分（北京时间）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2.地点：江苏省政府采购交易系统（以下简称“苏采云系统”）网上开标大厅。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1.本项目采购标的对应的中小企业划分标准所属行业为：其他未列明行业。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3.拒绝下述供应商参加本次采购活动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4.本次招标不收取投标保证金。</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5.本项目不组织集中勘察及答疑，供应商如对采购需求有疑问，请咨询采购单位联系人。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9" w:tooltip="http://www.ccgp-jiangsu.gov.cn/jiangsu/zlxz/ee/ee3a4bc5a3454aa2b0d9312230633ce9.html" w:history="1">
        <w:r>
          <w:rPr>
            <w:rStyle w:val="804"/>
            <w:rFonts w:ascii="SimSun" w:hAnsi="SimSun" w:eastAsia="SimSun" w:cs="SimSun"/>
            <w:color w:val="000000"/>
            <w:sz w:val="21"/>
            <w:u w:val="single"/>
          </w:rPr>
          <w:t xml:space="preserve">下载地址</w:t>
        </w:r>
      </w:hyperlink>
      <w:r>
        <w:rPr>
          <w:rFonts w:ascii="SimSun" w:hAnsi="SimSun" w:eastAsia="SimSun" w:cs="SimSun"/>
          <w:color w:val="000000"/>
          <w:sz w:val="21"/>
        </w:rPr>
        <w:t xml:space="preserve">（CTRL+鼠标左键）。</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7.报价响应人应充分考虑网络环境、网络带宽等因素可能对投标产生的影响，如因投标人自身原因造成的电子投标文件上传不成功的，做无效响应文件处理。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8.招标代理公司可以按照规定，通过修改招标文件酌情延长投标截止时间，在此情况下，供应商的所有权利和义务均以延长后新的截止时间为准。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9.有关本次招标的事项若存在变动或修改，敬请及时关注“江苏政府采购网”（www.ccgp-jiangsu.gov.cn）发布的信息更正公告。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10.对本次采购提出询问，请按以下方式联系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名称：南京市浦口区文化和旅游局</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地址：江苏省南京市浦口区象山路4号浦口市民中心B栋9/10层</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联系方式：冯老师 025-58180982</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名称：南京众智工程咨询有限公司</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地址：南京市鼓楼区郑和中路18号中海广场A座601、602室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联系方式：朱工 025-52896520-20</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供应商须知</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《中华人民共和国政府采购法》、《中华人民共和国政府采购法实施条例》、《政府采购竞争性磋商采购方式管理暂行办法》等法律、规章和规定等。</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“供应商”是指参加响应竞争，并符合采购文件规定资格条件的法人、其他组织或者自然人。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“货物和服务”指本采购文件中所述产品及相关服务。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本次采购除特别说明外不接受进口产品，进口产品是指通过中国海关报关验放进入中国境内且产自关境外的产品。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“用户或使用单位”是指使用货物的单位。</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政府采购促进中小企业发展，在政府采购活动中，供应商提供的货物、工程或者服务符合下列情形的，享受中小企业扶持政策：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在货物采购项目中，供应商提供的货物既有中小企业制造货物，也有大型企业制造货物的，不享受中小企业扶持政策。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以联合体形式参加政府采购活动，联合体各方均为中小企业的，联合体视同中小企业。其中，联合体各方均为小微企业的，联合体视同小微企业。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中小企业供应商参加政府采购活动，应当出具《中小企业声明函》（格式见后附件），否则不得享受相关中小企业扶持政策。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强制采购节能产品、信息安全产品，优先采购环境标志产品。节能产品是指列入财政部、国家发展和改革委员会制定的节能产品品目政府采购清单，且经过认定的节能产品；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提供的产品属于信息安全产品的，供应商应当选择经国家认证的信息安全产品投标，并提供由中国信息安全认证中心按国家标准认证颁发的有效认证证书复印件。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提供的产品属于政府强制采购节能产品的，供应商应当选择经过认证的节能产品投标，并提供有效的节能产品认证证书复印件。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提供的产品属于环境标志产品的，供应商应当选择经过认证的环境标志产品投标，并提供有效的环境标志产品认证证书复印件。</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4.采购文件组成</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采购文件组成：磋商邀请、供应商须知、供应商应当提交的资格和资信证明文件、报价要求、响应文件编制要求和投标保证金缴纳方式、招标项目的技术规格、要求和数量、合同主要条款及合同签订方式、交货和提供服务的时间、验收标准、付款条件、评标办法、评标标准、无效投标和废标条款、附件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采购的最小单位是包。采购货物数量及技术要求中未分包的，供应商对要求提供的货物不得部分投标；招标货物数量及技术要求中已经分包的，应当以包为单位投标。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采购文件如果要求供应商提交备选投标方案的，供应商可以提交备选方案，否则，不接受备选方案。</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5.采购文件的澄清、修改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供应商提交响应文件截止之日前，代理机构可以对已发出的采购文件进行必要的澄清或者修改，澄清或者修改的内容作为采购文件的组成部分。澄清或者修改的内容可能影响响应文件编制的，代理机构将在提交响应文件截止之日5日前，发布更正说明，不足5日的，顺延提交响应文件截止之日。</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6.响应文件的语言、计量单位、货币和技术标准。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供应商提交的响应文件，包括技术文件、资料和图纸等应使用中文。响应文件中若有英文或其他语言文字的资料，应附上相应的中文翻译资料。对不同文本响应文件的解释发生异议的，以中文文本为准。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供应商所使用的计量单位应为国家法定计量单位。</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供应商所使用的币种位应为人民币，单位为“元”。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供应商所使用的技术标准应遵循国家最新标准及规范。</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7.响应文件的组成</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根据采购文件要求编制响应文件，并根据自己的商务能力、技术水平对采购文件提出的要求和条件逐条标明是否响应。响应文件由商务部分、技术部分、价格部分以及其他部分组成。供应商应将响应文件按顺序编制响应文件资料目录。</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如标书制作工具中格式和内容与“江苏政府采购网”发布的招标文件不一致，以“江苏政府采购网”发布的招标文件为准。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 响应文件的商务部分。</w:t>
      </w:r>
      <w:r>
        <w:rPr>
          <w:rFonts w:ascii="SimSun" w:hAnsi="SimSun" w:eastAsia="SimSun" w:cs="SimSun"/>
          <w:color w:val="000000"/>
          <w:sz w:val="21"/>
        </w:rPr>
        <w:t xml:space="preserve">商务部分是证明供应商有资格参加采购和成交后有能力履行合同的文件，这些文件应能满足采购文件的要求，包括但不限于下列文件，其中加“★”项目不得有缺失或无效：</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响应申请及声明；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法定代表人授权委托书及委托代理人的身份证复印件；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第一章申请人的资格要求中供应商资质条件、能力和信誉的证明文件；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（4）《商务条款偏离表》；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（5）合同草案条款；</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（6）供应商认为需要提供的其他资格证明文件和商务资料等。</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7.2 响应文件的技术部分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（1）技术部分是证明供应商提供的产品和服务是合格的、并符合招标（采购）文件要求的证明文件，以及对投标报价表中的服务的详细说明，这些文件可以是文字资料、图纸和数据等。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（2）若技术性能无特殊说明，则按国家有关部门最新颁布的标准及规范为准；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（3）提供的服务如与招标文件要求有不符之处，应说明其差别之所在，并在《技术条款偏离表》中逐条予以说明。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（4）投标文件应按照招标文件要求提供技术资料、文件和有关证明，其中加“★”项目不得有缺失或无效。</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7.3 响应文件的价格部分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报价应包含完成本货物和服务项目发生的所有含税费用、伴随服务、技术图纸资料、人员培训发生的所有含税费用、支付给员工的工资和国家强制缴纳的各种社会保障资金，以及供应商认为需要的其他费用等。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 供应商应对《需求清单》分别报价。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7.3.3 供应商任何错漏、优惠、报价不得作为减轻责任、减少服务、增加收费、降低质量的理由。</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8.评定成交标准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详见“第三章 评审办法和标准”。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9.询问和质疑</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认为采购文件、采购过程和成交结果使自己的合法权益受到损害的，可以在知道或者应当知道其权益受到损害之日起七个工作日内，将质疑文件原件送达采购代理机构。(对采购文件质疑的,通过网上下载方式获取采购文件的供应商，应当提供依法获取采购文件的截图或者其他资料，否则质疑将不予受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质疑供应商的质疑行为和质疑函的主要内容应符合财政部94号令相关规定，未参加采购活动的供应商或在采购活动中自身权益未受到损害的供应商所提出的质疑不予受理。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上述应知其权益受到损害之日是指：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（1）对采购文件提出质疑的，为采购文件公告期限届满之日起计算；</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（2）对采购过程提出质疑的，自采购程序环节结束之日起计算；</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（3）对采购结果提出质疑的，自采购结果公告期限届满之日起计算。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质疑供应商在法定质疑期内应当一次性提出针对同一采购环节的质疑事项。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 代理机构在收到供应商的质疑后将及时组织调查核实，在七个工作日内作出答复，答复的内容不涉及商业秘密。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代理机构遵循“谁过错谁负担”的原则，有过错的一方承担调查论证费用。违规质疑或多次质疑不成立的，将被列入不良行为记录。”</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10.提交响应文件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供应商应当按照采购文件的商务、技术等要求逐一响应，编制响应文件，并对其真实性、合法性承担法律责任。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供应商应实质性响应采购文件的各项要求，实质性要求不得负偏离。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供应商应逐一说明提供的服务响应。</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供应商提供的产品属于国家认定的节能产品、环境标志产品、信息安全产品、强制认证产品的，应提供认证证书。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供应商提供的服务由小微企业承接的，应在响应文件中说明。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供应商应当按照《操作手册》规定，在磋商公告规定的提交响应文件截止时间前制作并上传电子响应文件。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供应商应充分考虑网络环境、网络带宽、未按要求配置软硬件环境、解密锁用错或其他物理故障、操作熟练程度等因素可能对磋商产生的影响，如因供应商自身原因造成的电子响应文件上传不成功的，按照本磋商文件规定做无效响应处理。因网上招投标平台发生故障，导致无法按时完成响应文件解密或开、评标工作无法进行的，可根据实际情况相应延迟解密时间或调整开、评标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10.8采购代理机构可以按照规定，通过修改磋商文件酌情延长提交响应文件截止日期，在此情况下，供应商的所有权利和义务均以延长后新的截止日期为准。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11.响应文件的拒收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采购代理机构拒绝接收提交响应文件截止时间后上传的任何电子响应文件。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12.响应文件的修改和撤回</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供应商在规定的提交响应文件截止之时间之前，可以对所提交的响应文件进行补充、修改或撤回。供应商撤回电子响应文件，则认为其不再参与本项目磋商活动。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提交响应文件截止时间后，响应文件不能修改和撤回；如果以书面形式向代理机构申请撤回的，一年内不得参加政府采购活动。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13.响应文件的解密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响应文件的解密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供应商应当按照《操作手册》规定，在苏采云系统规定的时间内对响应文件进行解密。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14.评审组织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14.1.1 供应商提交响应文件截止时间后，代理机构组织项目评审小组对响应文件进行评审。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14.1.2 项目评审小组由采购人代表和有关技术、经济等方面的专家组成，并独立履行下列职责：</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（1）审查供应商的响应文件并作出评价；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（2）要求供应商解释或者澄清其响应文件；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（3）编写评审报告；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（4）告知采购人、代理机构在评审过程中发现的供应商的违法违规行为。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评审程序</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14.2.1 资格性检查。依据法律法规、财政部和采购文件的规定，对响应文件中资格证明，以及供应商信用情况（通过“信用中国”网站（www.creditchina.gov.cn）、中国政府采购网（http://www.ccgp.gov.cn/cr/list）等渠道查询供应商信用记录）等进行审查。</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14.2.2 符合性检查。依据采购文件规定，从响应文件的有效性、完整性和对采购文件的响应程度进行审查，以确定是否对采购文件的实质性要求作出响应。实质性要求是指本采购文件中用带星号（“★”）、“必须”或“应（应当）”等其他文字说明的商务和技术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评审过程中出现下列情形之一的，评审委员会应当启动异常低价投标（响应）审查程序：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（1）投标（响应）报价低于采购项目预算50%的，即投标（响应）报价&lt;采购项目预算×50%；</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（2）投标（响应）报价低于采购项目最高限价45%的，即投标（响应）报价&lt;采购项目最高限价×45%</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（3）评审委员会认定的供应商报价过低、有可能影响产品质量或者不能诚信履约的其他情形。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14.2.3 评审小组所有成员应当集中与单一供应商分别进行磋商，并给予所有参加磋商的供应商平等的磋商机会。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14.2.4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14.2.5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14.2.6 其他约定。最后报价是供应商响应文件的有效组成部分。提交响应文件的供应商满三家但经评审实质性响应采购文件只有两家的，经评审小组认定，采购文件没有不合理条款、采购程序符合规定的，竞争性磋商可以继续进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14.2.7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14.2.8 响应文件属下列情形之一的，按照无效处理：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（1）不符合《中华人民共和国政府采购法》第二十二条规定条件的；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（2）不具备采购人根据采购项目的特殊要求规定特定条件的；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（3）参加政府采购活动前三年内，在经营活动中有重大违法记录的；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（4）被信用中国网站、中国政府采购网站列入失信被执行人名单、重大税收违法失信主体、政府采购严重违法失信行为记录名单的；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（5）在全国范围内受过财政部门禁止参加政府采购活动的处罚期限未满的；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（6）为本采购项目提供整体设计、规范编制，以及项目管理、监理、检测等服务；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（7）参加本次采购活动不同供应商的授权代理人(或法定代表人、项目经理、项目总监、项目负责人等)在采购文件发布日上月至响应截止日当月在同一单位缴纳社会保险的；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（8）参加本次采购活动不同供应商的法定代表人或委托代理人有夫妻、直系血亲关系的；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（9）参加本次采购活动不同供应商的负责人为同一人，或不同供应商之间存在直接控股、管理关系的；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（10）未按照采购文件要求盖章的；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（11）报价超出采购项目预算的；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（12）未逐一说明提供的服务响应的；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（13）不符合法律、法规和采购文件规定的其他实质性要求的。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14.3出现下列情形之一的，终止采购活动：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（1）因情况变化，不再符合规定的采购方式适用情形的。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（3）除本磋商文件第二章第14.2.6条第三款规定的情形外，采购过程中符合要求的供应商或者提交最后报价且未超过采购预算（最高限价）的供应商不足3家的。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（4）在苏采云系统规定时间内成功解密电子响应文件的供应商不足3家的。</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15.确定成交供应商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在综合比较与评价后按照得分由高到低顺序对供应商进行排列。得分相同的，按报价由低到高顺序排列。得分且报价相同的，按技术指标和服务标准优劣顺序排列。评审小组根据排名确定</w:t>
      </w:r>
      <w:r>
        <w:rPr>
          <w:rFonts w:ascii="SimSun" w:hAnsi="SimSun" w:eastAsia="SimSun" w:cs="SimSun"/>
          <w:color w:val="0000ff"/>
          <w:sz w:val="21"/>
        </w:rPr>
        <w:t xml:space="preserve">1-3</w:t>
      </w:r>
      <w:r>
        <w:rPr>
          <w:rFonts w:ascii="SimSun" w:hAnsi="SimSun" w:eastAsia="SimSun" w:cs="SimSun"/>
          <w:color w:val="000000"/>
          <w:sz w:val="21"/>
        </w:rPr>
        <w:t xml:space="preserve">名成交候选人。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按以下第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种方式确定成交供应商：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（1）评审小组直接确定排名第一的成交候选人为成交供应商；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（2）采购人在评审小组推荐的成交候选人中按顺序确定成交供应商。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成交供应商确定之日起2个工作日内，成交供应商应及时支付代理服务费后到代理机构领取《成交通知书》。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成交供应商确定之日起两个工作日内，将在财政部门指定的政府采购信息发布媒体上公告。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 成交通知书对采购人和成交供应商具有同等法律效力。</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 代理机构和项目评审小组对未成交的供应商不作未成交原因的解释。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 所有响应文件都将作为档案保存，不论成交与否，代理机构均不退回。</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16.编写评审报告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项目评审小组根据全体评审成员签字的原始评审记录和评审结果编写评审报告。</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17.评审过程的保密性</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代理机构将采取必要措施，保证评审在严格保密的情况下进行。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任何单位和个人不得非法干预、影响评审办法的确定，以及评审过程和结果。</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凡是与审查、澄清、评价和比较响应的有关资料等，均不向供应商及与评审无关的其他人员透露。</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18.签订合同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成交供应商应当自成交通知书发出之日起三十日内，按照采购文件确定的事项与采购人签订采购合同，所签订的合同不得对采购文件和成交供应商响应文件作实质性修改。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成交供应商和采购人不得向对方提出任何不合理的要求作为签订合同的条件，不得私下订立背离合同实质性内容的协议。</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成交供应商拒绝与采购人签订合同的，或因不可抗力或者自身原因不能履行政府采购合同的，采购人可以按照评审报告推荐的成交候选人名单排序，确定下一候选人为成交供应商，也可以重新开展政府采购活动。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成交供应商拒绝与采购人签订合同的，或因不可抗力或者自身原因不能履行政府采购合同的，不得参加该项目重新开展的采购活动。情节严重的，由财政部门将其列入不良行为记录名单，在一至三年内禁止参加政府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采购合同履行中，采购人需追加与合同标的相同产品的，在不改变合同其他条款的前提下，可以与供应商协商签订补充合同，但所有补充合同的采购金额不得超过原合同采购金额的百分之十。</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19.响应有效期</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从响应文件开启之日起60天内有效。</w:t>
      </w:r>
      <w:r>
        <w:rPr>
          <w:rFonts w:ascii="SimSun" w:hAnsi="SimSun" w:eastAsia="SimSun" w:cs="SimSun"/>
          <w:b/>
          <w:color w:val="000000"/>
          <w:sz w:val="21"/>
        </w:rPr>
        <w:t xml:space="preserve">响应文件有效期比规定短的将被视为非实质性响应磋商文件而被拒绝。</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在特殊情况下，在原响应有效期内，采购人可征得供应商同意延长响应有效期。这种要求与答复均应为书面形式如电传、传真等。同意延长的供应商既不能被要求也不允许修改其响应文件。</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20.代理服务费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本次采购的代理服务费由成交供应商承担；参照《江苏省政府采购代理服务收费指导意见》苏政采协【2024】20号文招标收费基准费率的60%计算；不足5000元的，按5000元收取，开具增值税普通发票。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成交供应商向采购代理机构支付所有费用后到采购代理机构领取成交通知书。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代理费汇款单位：南京众智工程咨询有限公司；</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代理费汇款银行：华夏银行股份有限公司南京城北支行；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代理费汇款帐号：10366000000495882</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有关发票开具事项：请将开票信息发至财务邮箱：njzz@wisdomzz.cn（开票信息包括公司名称、统一社会信用代码、公司地址、联系电话、开户银行及账号、财务联系人等）。领取发票：电子发票。</w:t>
      </w:r>
      <w:r/>
    </w:p>
    <w:p>
      <w:pPr>
        <w:ind w:left="0" w:right="0" w:firstLine="42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评审办法和标准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1.评审办法：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将全部评审小组成员评分直接进行算术平均，小数点后保留2位。磋商小组应当根据综合评分情况，按照评审得分由高到低顺序推荐3名以上成交候选供应商，并编写评审报告。按评审后得分由高到低顺序排列，得分相同的，按报价由低到高顺序排列，得分且报价相同的，按技术指标优劣顺序排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2.评定标准：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实质性要求不得负偏离；否则，按照无效响应处理；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对国家认定的节能产品和环保产品分别给予报价的5%价格扣除，用扣除后的价格参与评审（特别说明：节能、环保产品必须纳入“中国政府采购网http://www.ccgp.gov.cn”等官方网站“节能、环保产品查询系统”，且以提供的证书扫描件为准）；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3.小微企业价格扣除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3.1.对于货物和服务采购项目中，未预留份额项目以及预留份额项目中的非预留部分采购包项目对小微企业报价给予 10%的扣除，并用扣除后的价格参加评审。其中，接受大中型企业与小微企业组成联合体或者大中型企业向小微企业分包的，对联合协议或者分包意向协议约定小微企业合同份额占到合同总金额 30%以上的，500 万元（含）以上的项目对联合体或者大中型企业的报价给予 4%的扣除，500 万元以内的项目给予 6%的扣除。联合体各方均为小微企业的，联合体视同为小微企业，享受相应价格扣除。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 小企业（含小型、微型企业）应当符合以下条件：</w:t>
      </w:r>
      <w:r>
        <w:rPr>
          <w:rFonts w:ascii="SimSun" w:hAnsi="SimSun" w:eastAsia="SimSun" w:cs="SimSun"/>
          <w:color w:val="000000"/>
          <w:sz w:val="21"/>
        </w:rPr>
        <w:t xml:space="preserve">服务由小微企业承接，即提供服务的人员为小微企业依照《中华人民共和国劳动合同法》订立劳动合同的从业人员。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 价格扣除比例或者价格分加分比例对小型企业和微型企业同等对待，不作区分。</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说明：价格扣除优惠政策仅适用于“第一章 二、申请人的资格要求 2.落实政府采购政策需满足的资格要求”中“本项目采用以下第（4）种方式落实政府采购促进中小企业发展的要求”的采购项目中。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本项目对监狱和戒毒企业（简称监狱企业），给予等同于小微企业的价格扣除，用扣除后的价格参与评审。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监狱企业标准请参照《关于政府采购支持监狱企业发展有关问题的通知》（财库[2014]68号）。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本项目对残疾人福利性单位，给予等同于小微企业的价格扣除，用扣除后的价格参与评审。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残疾人福利单位需按照采购文件的要求提供《残疾人福利性单位声明函》。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残疾人福利单位标准请参照《关于促进残疾人就业政府采购政策的通知》（财库〔2017〕141号）。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6.监狱企业、残疾人福利单位属于小型、微型企业的，不重复享受政策。</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7.所有认证、证明和业绩均以有效的证明文件的复印件加盖公章为依据。供应商提供虚假材料的，自行承担相应后果。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8.综合评标办法：</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2"/>
        <w:gridCol w:w="1451"/>
        <w:gridCol w:w="5080"/>
        <w:gridCol w:w="616"/>
        <w:gridCol w:w="777"/>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一、价格</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采用低价优先法计算，即满足采购文件要求且评审价格最低的报价为评标基准价，其价格分为满分。其他供应商的价格分统一按照下列公式计算（小数点后保留二位）：价格分=（评标基准价/供应商报价）×10分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w:t>
            </w:r>
            <w:r/>
          </w:p>
        </w:tc>
      </w:tr>
      <w:tr>
        <w:trPr>
          <w:trHeight w:val="9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项目理解方案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评委根据供应商提供的项目需求理解（包括本项目背景、服务目标、建设需求及必要性等方面的理解材料）进行综合评分：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（1）项目背景、服务目标和建设需求理解完整深刻、针对性强、完全贴合需求的，得9分；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（2）项目背景、服务目标和建设需求理解较完整深刻、针对性较强、较能贴合需求的，得6分；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（3）项目背景、服务目标和建设需求理解基本完整深刻、具备一定的针对性、基本贴合需求的，得3分；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（4）未提供方案不得分。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进度计划方案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评委根据供应商针对本项目提供的进度计划方案（内容包括但不限于服务方式、数据采集、数据识别、进度保障措施、质量保证措施等）进行综合评分：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（1）方案完整度高，专业、合理，可行性强的，得9分；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（2）方案完整度较高，较 专业、较合理，可行性较强的，得6分；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（3）方案不够完整，专业性、合理性、可行性一般的，得3分；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（4）未提供方案不得分。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保密措施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解决方案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评委根据供应商提供的保密措施解决方案进行综合评分：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（1）方案完整度高，专业、合理，可行性强的，得9分；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（2）方案完整度较高，较专业、合理，可行性较强的，得6分；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（3）方案不够完整，专业性、合理性、可行性一般的，得3分；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消费分析方案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评委根据供应商提供的消费分析方案进行综合评分：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（1）方案内容贴合招标人需求、详尽合理、针对性强、技术先进的，得9分；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（2）方案内容较为贴合招标人需求、具备较强的针对性和可操作性的，得6分；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（3）方案内容基本贴合招标人需求，基本具备针对性和可操作性的，得3分；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突发事件应急处理预案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评委根据供应商提供的应急预案（包括但不限于根据不同场景出具相应的应急措施、服务响应及应急保障等）进行综合评分：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（1）应急预案细化全面，应急措施科学合理，服务响应及时高效，应急保障人力及物资安排合理的，得9分；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（2）应急预案较全面，应急措施较恰当，服务响应较及时，具有基本的应急保障人力及物资安排的，得6分；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（3）应急预案不全，应急措施混乱，服务响应时间滞后，未考虑人力及物资安排或安排不合理的，得3分；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实施运维方案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评委根据供应商人员配备及安排、建设进度计划及保证措施、安装规范、质量保证措施、安全文明施工措施、培训方案、安装调试程序、验收方案、软硬件运维等进行综合评分：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（1）方案合理完整、措施得当，完全满足的，得9分；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（2）方案合理较完整、措施较好的，得6分；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（3）方案合理一般、措施有效的，得3分；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（1）供应商承诺本项目服务响应时间小于2小时，到达项目现场时间小于4小时，解决合同数据对接（重大故障除外）的时间小于8 小时，能全部满足的，得2分，其他情况不得分。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（2）本次采购数据为游客数据及消费数据，供应商需保证数据完整性、连续性、一致性，提供数据来源与市局单位数据来源保持一致的，得2分。</w:t>
              <w:br/>
              <w:t xml:space="preserve">（以上需提供承诺函并加盖供应商公章，格式自拟）。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本地化服务能力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投标人具有本地化服务能力的得2分。（提供承诺函并加盖供应商公章，格式自拟）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三、商务部分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（1）供应商具有数据可视化展示与分析软件软件著作权登记证书，得2分；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（2）供应商具有智慧文旅大数据平台系统软件著作权登记证书，得2分。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（3）供应商获得DSMM数据安全能力成熟度等级证书三级及以上得2分，二级得1分，一级及以下不得分。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（提供以上证书扫描件并加盖供应商公章）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团队人员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（1）供应商针对本次项目拟投入人员不少于6人的，得2分；提供针对本项目配置的编制人员一览表（含性别、年龄、职务、职称、专业等）及供应商为其缴纳近半年内任意一个月的社保证明材料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（2）拟派项目负责人具有CISAW信息安全保障人员证书、CISP注册信息安全工程师、ITSS-IT服务工程师证书、信息系统项目管理师证书-高级，每提供一个得1分，最高得4分。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投入人员中拟派项目组成员（除项目负责人外）具有通信工程师证书、容灾备份管理师证书、CISAW信息安全保障人员认证证书、网络工程师、系统架构设计师、系统分析师、高级工程师、IT服务工程师(ITSS)证书、ITSS服务应用经理、系统集成项目管理工程师，每个1分，最高得6分。（注：同一人员不重复计分，同类证书不重复计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注：以上提供本人证书（证书应能反映相关信息）扫描件及由投标人为其缴纳的近半年来任意一个月的社保证明，证明材料缺项或未提供的不得分。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供应商提供自2022年01月01日起至今以来类似项目业绩（包含智慧旅游数据采购或智慧旅游综合服务或智慧文旅大数据），每提供一个得3分，最高得12分（提供合同扫描件并加盖公章）。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注：评分标准中所涉及需要提供的证明材料，评分内容应进行明显标注，采用如箭头、标红或下划线等标注方式，方便评委查看。</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采购需求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1.项目背景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提升浦口区智慧旅游管理科学化和智能化水平，利用行业优势多渠道采集数据，实现浦口区旅游市场营销精准化和产品与服务个性化推荐，不断提高浦口区旅游市场营销的效能化。同时，通过对相关数据分析、研判，真正实现浦口区对多层级部门数据的互联互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2.项目建设遵循标准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（1）本项目标的的所属行业：其他未列明服务业；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（2）符合国家标准、行业标准、地方标准或者其他标准、规范。</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二、需求清单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1.总体要求（包括不限于）：银联消费数据、商数据数据、分析服务支撑。</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2.服务要求：</w:t>
      </w:r>
      <w:r/>
    </w:p>
    <w:p>
      <w:pPr>
        <w:ind w:left="0" w:right="0" w:firstLine="420"/>
        <w:spacing w:before="6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（1）银联消费数据要求</w:t>
      </w:r>
      <w:r/>
    </w:p>
    <w:p>
      <w:pPr>
        <w:ind w:left="0" w:right="561" w:firstLine="43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通过数据采集、清洗及建模计算生成本年度旅游消费数据分析指标，涵盖全区游客消费情况、行业分布、节假日消费及全市文旅消费排名等。</w:t>
      </w:r>
      <w:r/>
    </w:p>
    <w:p>
      <w:pPr>
        <w:ind w:left="0" w:right="0" w:firstLine="420"/>
        <w:spacing w:before="3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（2）运营商数据要求</w:t>
      </w:r>
      <w:r/>
    </w:p>
    <w:p>
      <w:pPr>
        <w:ind w:left="0" w:right="839"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主要包括客流总量、区内访客数量、区外访客数量、访客性别、停留时间、访客年龄、实时客流数量、游客来源地区、节假日访客数量、节假日访客停留时长、实时人流等数据；采购点位同上期保持一致，涵盖：区（县）区域、旅游景区、文化场馆、乡村旅游重点村、旅游度假区、商业街区、公园等。</w:t>
      </w:r>
      <w:r/>
    </w:p>
    <w:p>
      <w:pPr>
        <w:ind w:left="0" w:right="839"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（3）数据分析应用服务</w:t>
      </w:r>
      <w:r/>
    </w:p>
    <w:p>
      <w:pPr>
        <w:ind w:left="0" w:right="839"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于平台数据资源中心积攒的长期、大量、类型丰富的多源数据，通过正确理解和对平台数据关联性的深入下钻，拟合不同维度的分析结论，并以数据报告的形式，阶段性输出有深度的统计分析成果，提升数据资源价值，切实反映全区文旅行业发展的现状和趋势，为文旅产业发展提供科学决策及研判辅助。</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三、服务期限</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本项目服务期限为自合同签订之日起1年。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签订合同后，采购人向供应商支付合同金额的80%作为预付款；由采购人进行验收合格后，向供应商支付剩余合同款项。</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合同主要条款及格式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2025年浦口智慧旅游平台数据资源及保障服务采购采购合同</w:t>
      </w:r>
      <w:r/>
    </w:p>
    <w:p>
      <w:pPr>
        <w:ind w:left="0" w:right="0" w:firstLine="18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8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8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18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b/>
          <w:color w:val="000000"/>
          <w:sz w:val="36"/>
          <w:u w:val="single"/>
        </w:rPr>
        <w:t xml:space="preserve">2025年浦口智慧旅游平台数据资源及保障服务采购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使用单位：</w:t>
      </w:r>
      <w:r>
        <w:rPr>
          <w:rFonts w:ascii="SimSun" w:hAnsi="SimSun" w:eastAsia="SimSun" w:cs="SimSun"/>
          <w:b/>
          <w:color w:val="000000"/>
          <w:sz w:val="36"/>
          <w:u w:val="single"/>
        </w:rPr>
        <w:t xml:space="preserve">南京市浦口区文化和旅游局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供货单位：</w:t>
      </w:r>
      <w:r>
        <w:rPr>
          <w:rFonts w:ascii="SimSun" w:hAnsi="SimSun" w:eastAsia="SimSun" w:cs="SimSun"/>
          <w:b/>
          <w:color w:val="000000"/>
          <w:sz w:val="32"/>
          <w:u w:val="single"/>
        </w:rPr>
        <w:t xml:space="preserve">                  </w:t>
      </w:r>
      <w:r>
        <w:rPr>
          <w:rFonts w:ascii="SimSun" w:hAnsi="SimSun" w:eastAsia="SimSun" w:cs="SimSun"/>
          <w:b/>
          <w:color w:val="000000"/>
          <w:sz w:val="36"/>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签订日期：    年月日</w:t>
      </w:r>
      <w:r>
        <w:rPr>
          <w:rFonts w:ascii="SimSun" w:hAnsi="SimSun" w:eastAsia="SimSun" w:cs="SimSun"/>
          <w:b/>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rPr>
          <w:rFonts w:ascii="SimSun" w:hAnsi="SimSun" w:eastAsia="SimSun" w:cs="SimSun"/>
          <w:b/>
          <w:color w:val="000000"/>
          <w:sz w:val="21"/>
        </w:rPr>
        <w:t xml:space="preserve">xxxxxxxx</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根据《中华人民共和国政府采购法》《中华人民共和国民法典》等法律法规的规定，甲乙双方按照采购代理机构的采购结果签订本合同。</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合同标的</w:t>
      </w:r>
      <w:r>
        <w:rPr>
          <w:rFonts w:ascii="SimSun" w:hAnsi="SimSun" w:eastAsia="SimSun" w:cs="SimSun"/>
          <w:color w:val="000000"/>
          <w:sz w:val="21"/>
        </w:rPr>
        <w:t xml:space="preserve">  乙方根据甲方需求提供下列服务：</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8"/>
        <w:gridCol w:w="2338"/>
        <w:gridCol w:w="2338"/>
        <w:gridCol w:w="23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服务内容详见乙方响应文件。</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合同总价款</w:t>
      </w:r>
      <w:r>
        <w:rPr>
          <w:rFonts w:ascii="SimSun" w:hAnsi="SimSun" w:eastAsia="SimSun" w:cs="SimSun"/>
          <w:color w:val="000000"/>
          <w:sz w:val="21"/>
        </w:rPr>
        <w:t xml:space="preserve">  本合同项下总价款为___________（大写）人民币。</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本合同总价款包含以下内容：</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（1）完成本服务项目发生的所有含税费用；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（2）支付给员工的工资和国家强制缴纳的各种社会保障资金；</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（3）乙方应当提供的伴随服务/售后服务费用；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（4）乙方认为需要的其他费用。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甲方除此费用外不再向乙方支付其他任何费用。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合同期限  </w:t>
      </w:r>
      <w:r>
        <w:rPr>
          <w:rFonts w:ascii="SimSun" w:hAnsi="SimSun" w:eastAsia="SimSun" w:cs="SimSun"/>
          <w:color w:val="000000"/>
          <w:sz w:val="21"/>
        </w:rPr>
        <w:t xml:space="preserve">自本合同生效之日起，至乙方所承诺的服务期届满之日。</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组成本合同的有关文件</w:t>
      </w:r>
      <w:r>
        <w:rPr>
          <w:rFonts w:ascii="SimSun" w:hAnsi="SimSun" w:eastAsia="SimSun" w:cs="SimSun"/>
          <w:color w:val="000000"/>
          <w:sz w:val="21"/>
        </w:rPr>
        <w:t xml:space="preserve">  招标（采购）文件、投标（响应）文件，以及与本次采购活动相关的文件及有关附件是本合同不可分割的组成部分，与本合同具有同等法律效力，这些文件包括但不限于：</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（1）服务承诺；</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（2）中标（成交）通知书；</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（3）甲乙双方商定的其他文件。</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权利保证</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乙方应保证向甲方提供的本合同项下服务任何一部分时不受第三方提出侵犯其专利权、版权、商标权或其他权利的起诉。一旦出现侵权，乙方应承担全部责任。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质量保证</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乙方所提供的服务的技术规格应与招标（采购）文件规定的技术规格及所附的“技术规格响应表”相一致；若技术性能无特殊说明，则按国家有关部门最新颁布的标准及规范及甲方需求为准。</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服务期限</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1.本项目服务期由采购人与成交供应商在合同中具体约定。甲方严格按照投标（响应）文件与招标（采购）文件对比验收，保留邀请第三方质检部门验收的权利。</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2.验收标准：按行业通行标准、招标（采购）文件、甲方认可的设计制作方案和乙方投标（响应）文件的承诺（详见合同附件载明的标准，并不低于国家相关标准）。</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履约保证金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1.乙方应按以下第（</w:t>
      </w:r>
      <w:r>
        <w:rPr>
          <w:rFonts w:ascii="SimSun" w:hAnsi="SimSun" w:eastAsia="SimSun" w:cs="SimSun"/>
          <w:color w:val="000000"/>
          <w:sz w:val="21"/>
          <w:u w:val="single"/>
        </w:rPr>
        <w:t xml:space="preserve">    </w:t>
      </w:r>
      <w:r>
        <w:rPr>
          <w:rFonts w:ascii="SimSun" w:hAnsi="SimSun" w:eastAsia="SimSun" w:cs="SimSun"/>
          <w:color w:val="000000"/>
          <w:sz w:val="21"/>
        </w:rPr>
        <w:t xml:space="preserve">）方式向甲方缴纳履约保证金：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（1）无需缴纳履约保证金；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（2）以支票、汇票、本票或者金融机构、担保机构出具的保函等非现金形式缴纳履约保证金，金额为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2.履约保证金的有效期至</w:t>
      </w:r>
      <w:r>
        <w:rPr>
          <w:rFonts w:ascii="SimSun" w:hAnsi="SimSun" w:eastAsia="SimSun" w:cs="SimSun"/>
          <w:color w:val="000000"/>
          <w:sz w:val="21"/>
          <w:u w:val="single"/>
        </w:rPr>
        <w:t xml:space="preserve">                </w:t>
      </w:r>
      <w:r>
        <w:rPr>
          <w:rFonts w:ascii="SimSun" w:hAnsi="SimSun" w:eastAsia="SimSun" w:cs="SimSun"/>
          <w:color w:val="000000"/>
          <w:sz w:val="21"/>
        </w:rPr>
        <w:t xml:space="preserve">时止。</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3.如乙方未能履行合同规定的义务，甲方有权从履约保证金中取得补偿。</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4.履约保证金扣除甲方应得的补偿后的余额，在有效期满后</w:t>
      </w:r>
      <w:r>
        <w:rPr>
          <w:rFonts w:ascii="SimSun" w:hAnsi="SimSun" w:eastAsia="SimSun" w:cs="SimSun"/>
          <w:color w:val="000000"/>
          <w:sz w:val="21"/>
          <w:u w:val="single"/>
        </w:rPr>
        <w:t xml:space="preserve">    </w:t>
      </w:r>
      <w:r>
        <w:rPr>
          <w:rFonts w:ascii="SimSun" w:hAnsi="SimSun" w:eastAsia="SimSun" w:cs="SimSun"/>
          <w:color w:val="000000"/>
          <w:sz w:val="21"/>
        </w:rPr>
        <w:t xml:space="preserve">个工作日内无息退还给乙方。</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合同款支付</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2.本合同项下的采购资金由甲方自行支付，乙方向甲方开具发票。</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3.付款方式：详见采购文件</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违约责任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1.甲方无正当理由拒收服务、拒付服务款的，甲方向乙方偿付合同总价的5%违约金。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2.甲方未按合同规定的期限向乙方支付服务款的，每逾期1天甲方向乙方偿付欠款总额的5‰滞纳金，但累计滞纳金总额不超过欠款总额的5%。</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3.如乙方不能如期交付服务的；乙方应向甲方支付合同总价5%的违约金并赔偿因此给甲方造成的损失。</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4.乙方逾期通过甲方验收并交付甲方使用的，每逾期1天，乙方向甲方偿付合同总额的5‰的滞纳金。如乙方逾期交付达10天，甲方有权解除合同，解除合同的通知自到达乙方时生效。</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5.在乙方承诺的服务期内，如经乙方2次整改仍不能达到合同约定的质量标准，乙方应退回全部合同价款，并按本条第3款处理，同时，乙方还须赔偿甲方因此遭受的损失。</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6.乙方未按本合同的规定和服务承诺提供伴随服务/售后服务的，甲方有权委托第三方提供伴随服务/售后服务，由此产生的费用由乙方承担，且乙方应按合同总价款的5%向甲方承担违约责任。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7.乙方所交付的服务不符合合同规定的，甲方有权拒收。甲方拒收的，乙方应向甲方支付合同总款5%的违约金。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9.乙方响应属虚假承诺，或服务不能满足投标（响应）文件要求，或是由于乙方的过错造成合同无法继续履行的，乙方应向甲方支付不少于合同总价 5%赔偿金。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合同的变更和终止</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1.除《中华人民共和国政府采购法》第50条第二款规定的情形外，本合同一经签订，甲乙双方不得擅自变更、中止或终止合同。</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2.除发生法律规定的不能预见、不能避免并不能克服的客观情况外，甲乙双方不得放弃或拒绝履行合同。乙方放弃或拒绝履行合同，应向甲方支付合同总额5%的违约金并赔偿因此给甲方造成的损失。</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合同的转让</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争议的解决</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1.因履行本合同引起的或与本合同有关的争议，甲、乙双方应首先通过友好协商解决，如果协商不能解决争议，则采取以下第（ ）种方式解决争议：</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如没有约定，默认采取第1种方式解决争议。</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2.在诉讼或仲裁期间，本合同应继续履行。</w:t>
      </w:r>
      <w:r/>
    </w:p>
    <w:p>
      <w:pPr>
        <w:ind w:left="0" w:right="0" w:firstLine="422"/>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诚实信用 </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乙方应诚实信用，严格按照采购文件要求和乙方承诺履行合同，不向甲方进行商业贿赂或者提供不正当利益。</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第十五条 合同生效及其他</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1.本合同自签订之日起生效。</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2.本合同一式4份，甲方执3份乙方执1份。</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3.本合同应按照中华人民共和国的现行法律进行解释。</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乙方（供应商）：（盖章）</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555"/>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    号：</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    号：</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63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r>
    </w:tbl>
    <w:p>
      <w:pPr>
        <w:ind w:left="0" w:right="0" w:firstLine="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46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66" w:after="166"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166" w:after="166"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166" w:after="166"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《*******合同》补充协议（合同附件）</w:t>
      </w:r>
      <w:r/>
    </w:p>
    <w:p>
      <w:pPr>
        <w:ind w:left="0" w:right="0" w:firstLine="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如遇采购文件及合同未约定事项，双方可友好协商签订补充协议。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响应文件格式及附件</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（所附格式仅供参考，一切以采购文件要求为准）</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370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 </w:t>
      </w:r>
      <w:r>
        <w:rPr>
          <w:rFonts w:ascii="SimSun" w:hAnsi="SimSun" w:eastAsia="SimSun" w:cs="SimSun"/>
          <w:b/>
          <w:color w:val="000000"/>
          <w:sz w:val="36"/>
          <w:u w:val="single"/>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 </w:t>
      </w:r>
      <w:r>
        <w:rPr>
          <w:rFonts w:ascii="SimSun" w:hAnsi="SimSun" w:eastAsia="SimSun" w:cs="SimSun"/>
          <w:b/>
          <w:color w:val="000000"/>
          <w:sz w:val="36"/>
          <w:u w:val="single"/>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w:t>
      </w:r>
      <w:r>
        <w:rPr>
          <w:rFonts w:ascii="SimSun" w:hAnsi="SimSun" w:eastAsia="SimSun" w:cs="SimSun"/>
          <w:b/>
          <w:color w:val="000000"/>
          <w:sz w:val="36"/>
          <w:u w:val="single"/>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供应商信用承诺函</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满足特定资格要求的证明文件（如有特定资格要求）</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法人授权书</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磋商响应函</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磋商报价表</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分项报价表</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商务要求响应及偏离表（如有）</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技术要求响应及偏离表（如有）</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中小企业声明函（如有）</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代理服务费承诺书</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资格审查材料格式（特殊资格要求需自行提供证明材料）</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残疾人福利性单位声明函（如有）</w:t>
      </w:r>
      <w:r/>
    </w:p>
    <w:p>
      <w:pPr>
        <w:numPr>
          <w:ilvl w:val="0"/>
          <w:numId w:val="5"/>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联合体协议（如有）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供应商信用承诺函</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南京众智工程咨询有限公司：</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（供应商名称）郑重承诺：</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我公司符合下列要求：</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(一)具有独立承担民事责任的能力；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(二)具有良好的商业信誉和健全的财务会计制度；</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(三)具有履行合同所必需的设备和专业技术能力；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(四)有依法缴纳税收和社会保障资金的良好记录；</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(五)参加政府采购活动前三年内，在经营活动中没有重大违法记录。</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(六)法律、行政法规规定的其他条件（提供项目实施所必须的许可资质证明材料）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如果我公司中标，将在中标结果公示后七个工作日内向采购人提供下列材料核验：</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（1）营业执照副本或事业单位法人登记证书；</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（3）履行合同所必需的设备和专业技术能力证明材料；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（4）参加本次政府采购活动前一年内至少一个月依法缴纳税收和社会保障资金的证明材料；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（6）未被列入失信被执行人、重大税收违法案件当事人名单、政府采购严重违法失信行为记录名单的证明材料。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（7）法律、行政法规规定的其他条件（提供项目实施所必须的许可资质证明材料）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本公司对上述承诺内容的真实性、合法性、有效性负责，如有虚假，将依法承担相应责任。</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6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说明：执行南京市财政局《关于在政府采购活动中推行信用承诺制的通知》（宁财购通〔2021〕5号）要求。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二、满足特定资格要求的证明文件</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本项目申请人的特定资格要求中要求提供的材料。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三、法人授权书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法人授权书</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（投标人名称）授权</w:t>
      </w:r>
      <w:r>
        <w:rPr>
          <w:rFonts w:ascii="SimSun" w:hAnsi="SimSun" w:eastAsia="SimSun" w:cs="SimSun"/>
          <w:color w:val="000000"/>
          <w:sz w:val="21"/>
          <w:u w:val="single"/>
        </w:rPr>
        <w:t xml:space="preserve">                 </w:t>
      </w:r>
      <w:r>
        <w:rPr>
          <w:rFonts w:ascii="SimSun" w:hAnsi="SimSun" w:eastAsia="SimSun" w:cs="SimSun"/>
          <w:color w:val="000000"/>
          <w:sz w:val="21"/>
        </w:rPr>
        <w:t xml:space="preserve">（被授权人姓名）作为我方参加编号为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项目采购活动的合法代理人，以本单位名义全权处理一切与该项目采购有关的事务。</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本授权书自______年____月____日起生效，特此声明。</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被授权人身份证号码：</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被授权人联系电话：（手机）</w:t>
      </w:r>
      <w:r/>
    </w:p>
    <w:p>
      <w:pPr>
        <w:ind w:left="0" w:right="0" w:firstLine="592"/>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四、磋商响应函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磋商响应函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致：南京众智工程咨询有限公司</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根据贵方编号为</w:t>
      </w:r>
      <w:r>
        <w:rPr>
          <w:rFonts w:ascii="SimSun" w:hAnsi="SimSun" w:eastAsia="SimSun" w:cs="SimSun"/>
          <w:color w:val="000000"/>
          <w:sz w:val="21"/>
          <w:u w:val="single"/>
        </w:rPr>
        <w:t xml:space="preserve">                             </w:t>
      </w:r>
      <w:r>
        <w:rPr>
          <w:rFonts w:ascii="SimSun" w:hAnsi="SimSun" w:eastAsia="SimSun" w:cs="SimSun"/>
          <w:color w:val="000000"/>
          <w:sz w:val="21"/>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7.我方为：</w:t>
      </w:r>
      <w:r>
        <w:rPr>
          <w:rFonts w:ascii="Wingdings" w:hAnsi="Wingdings" w:eastAsia="Wingdings" w:cs="Wingdings"/>
          <w:color w:val="000000"/>
          <w:sz w:val="21"/>
        </w:rPr>
        <w:t xml:space="preserve">¨</w:t>
      </w:r>
      <w:r>
        <w:rPr>
          <w:rFonts w:ascii="SimSun" w:hAnsi="SimSun" w:eastAsia="SimSun" w:cs="SimSun"/>
          <w:color w:val="000000"/>
          <w:sz w:val="21"/>
        </w:rPr>
        <w:t xml:space="preserve">大型企业 </w:t>
      </w:r>
      <w:r>
        <w:rPr>
          <w:rFonts w:ascii="Wingdings" w:hAnsi="Wingdings" w:eastAsia="Wingdings" w:cs="Wingdings"/>
          <w:color w:val="000000"/>
          <w:sz w:val="21"/>
        </w:rPr>
        <w:t xml:space="preserve">¨</w:t>
      </w:r>
      <w:r>
        <w:rPr>
          <w:rFonts w:ascii="SimSun" w:hAnsi="SimSun" w:eastAsia="SimSun" w:cs="SimSun"/>
          <w:color w:val="000000"/>
          <w:sz w:val="21"/>
        </w:rPr>
        <w:t xml:space="preserve">中型企业 </w:t>
      </w:r>
      <w:r>
        <w:rPr>
          <w:rFonts w:ascii="Wingdings" w:hAnsi="Wingdings" w:eastAsia="Wingdings" w:cs="Wingdings"/>
          <w:color w:val="000000"/>
          <w:sz w:val="21"/>
        </w:rPr>
        <w:t xml:space="preserve">¨</w:t>
      </w:r>
      <w:r>
        <w:rPr>
          <w:rFonts w:ascii="SimSun" w:hAnsi="SimSun" w:eastAsia="SimSun" w:cs="SimSun"/>
          <w:color w:val="000000"/>
          <w:sz w:val="21"/>
        </w:rPr>
        <w:t xml:space="preserve">小型企业 </w:t>
      </w:r>
      <w:r>
        <w:rPr>
          <w:rFonts w:ascii="Wingdings" w:hAnsi="Wingdings" w:eastAsia="Wingdings" w:cs="Wingdings"/>
          <w:color w:val="000000"/>
          <w:sz w:val="21"/>
        </w:rPr>
        <w:t xml:space="preserve">¨</w:t>
      </w:r>
      <w:r>
        <w:rPr>
          <w:rFonts w:ascii="SimSun" w:hAnsi="SimSun" w:eastAsia="SimSun" w:cs="SimSun"/>
          <w:color w:val="000000"/>
          <w:sz w:val="21"/>
        </w:rPr>
        <w:t xml:space="preserve">微型企业（在对应</w:t>
      </w:r>
      <w:r>
        <w:rPr>
          <w:rFonts w:ascii="Wingdings" w:hAnsi="Wingdings" w:eastAsia="Wingdings" w:cs="Wingdings"/>
          <w:color w:val="000000"/>
          <w:sz w:val="21"/>
        </w:rPr>
        <w:t xml:space="preserve">¨</w:t>
      </w:r>
      <w:r>
        <w:rPr>
          <w:rFonts w:ascii="SimSun" w:hAnsi="SimSun" w:eastAsia="SimSun" w:cs="SimSun"/>
          <w:color w:val="000000"/>
          <w:sz w:val="21"/>
        </w:rPr>
        <w:t xml:space="preserve">内打</w:t>
      </w: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磋商报价表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项目编号：分包号：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小写（人民币：元）：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  期：</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分项报价表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
        <w:gridCol w:w="2646"/>
        <w:gridCol w:w="1339"/>
        <w:gridCol w:w="880"/>
        <w:gridCol w:w="942"/>
        <w:gridCol w:w="1234"/>
        <w:gridCol w:w="1461"/>
      </w:tblGrid>
      <w:tr>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c>
          <w:tcPr>
            <w:gridSpan w:val="7"/>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序号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9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总价小计：</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6" w:type="dxa"/>
            <w:vAlign w:val="top"/>
            <w:textDirection w:val="lrTb"/>
            <w:noWrap w:val="false"/>
          </w:tcPr>
          <w:p>
            <w:pPr>
              <w:ind w:left="0" w:right="0" w:firstLine="45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1.行数不够，可自行添加。</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七、商务条款偏离表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2200"/>
        <w:gridCol w:w="2750"/>
        <w:gridCol w:w="2750"/>
        <w:gridCol w:w="1106"/>
      </w:tblGrid>
      <w:tr>
        <w:trPr>
          <w:trHeight w:val="806"/>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八、技术条款偏离表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技术条款偏离表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9"/>
        <w:gridCol w:w="2200"/>
        <w:gridCol w:w="2750"/>
        <w:gridCol w:w="2750"/>
        <w:gridCol w:w="1106"/>
      </w:tblGrid>
      <w:tr>
        <w:trPr>
          <w:trHeight w:val="284"/>
        </w:trPr>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rHeight w:val="284"/>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招标文件要求的规格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九、中小企业声明函格式</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中小企业声明函（服务）</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 （其他未列明行业）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万元，属于（中型企业、小型企业、微型企业）；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注：从业人员、营业收入、资产总额填报上一年度数据，无上一年度数据的新成立企业可不填报。</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代理服务费承诺书</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致：南京众智工程咨询有限公司：</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若我公司中标，我公司同意按招标文件规定的服务费收取标准向贵公司支付本项目代理服务费。</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代理服务费发票信息见下表：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授权代理人（签字）：</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十一、资格审查材料格式（特殊资格要求需自行提供证明材料）</w:t>
      </w:r>
      <w:r/>
    </w:p>
    <w:p>
      <w:pPr>
        <w:ind w:left="0" w:right="-17"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7"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以下涉及的证明材料，投标人可以在投标文件中一次性提交，也可在投标文件中提供附件格式的信用承诺函。如供应商投标文件中仅提供信用承诺函而未提供涉及的证明材料，须在中标后，另行提供以下由信用承诺函替代的证明材料，材料须加盖公章提交采购人或采购代理机构核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1.法人或者其他组织提供营业执照或法人证书或组织机构代码证，自然人提供身份证，并加盖公章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2.提供参加本次政府采购活动前6个月内至少一个月份的会计报表（至少包括资产负债表和利润表）扫描件或其上一年度经审计的财务报告加盖公章，成立不满6个月的无需提供）</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3.根据项目需求提供履行合同所必需的设备和专业技术能力的证明材料或承诺书原件（格式附后）</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4.提供参加本次政府采购活动前一年内（至少一个月）依法缴纳税收和社会保障资金的相关材料扫描件加盖公章（依法免税或不需要缴纳社会保障资金的供应商，应提供相应的文件证明）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5.提供参加本次政府采购活动前3 年内在经营活动中没有重大违法记录的书面声明（格式附后）</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具备履行合同所必需的设备和专业技术能力的书面声明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具备履行合同所必需的设备和专业技术能力的书面声明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郑重声明：</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我单位具备履行本项采购合同所必需的设备和专业技术能力，为履行本项采购合同我单位具备如下主要设备和主要专业技术能力：</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w:t>
      </w:r>
      <w:r/>
    </w:p>
    <w:p>
      <w:pPr>
        <w:ind w:left="1440" w:right="1440" w:firstLine="0"/>
        <w:spacing w:before="24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声明人：（公章）</w:t>
      </w:r>
      <w:r/>
    </w:p>
    <w:p>
      <w:pPr>
        <w:ind w:left="0" w:right="0" w:firstLine="0"/>
        <w:jc w:val="center"/>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无重大违法记录声明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无重大违法记录声明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我单位</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郑重声明：</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参加政府采购活动前3年内在经营活动中</w:t>
      </w:r>
      <w:r>
        <w:rPr>
          <w:rFonts w:ascii="SimSun" w:hAnsi="SimSun" w:eastAsia="SimSun" w:cs="SimSun"/>
          <w:color w:val="000000"/>
          <w:sz w:val="24"/>
          <w:u w:val="single"/>
        </w:rPr>
        <w:t xml:space="preserve">        （在下划线上如实填写：有或没有）</w:t>
      </w:r>
      <w:r>
        <w:rPr>
          <w:rFonts w:ascii="SimSun" w:hAnsi="SimSun" w:eastAsia="SimSun" w:cs="SimSun"/>
          <w:color w:val="000000"/>
          <w:sz w:val="24"/>
        </w:rPr>
        <w:t xml:space="preserve">重大违法记录。</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jc w:val="right"/>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声明人：（公章）</w:t>
      </w:r>
      <w:r/>
    </w:p>
    <w:p>
      <w:pPr>
        <w:ind w:left="0" w:right="0" w:firstLine="696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1"/>
          <w:u w:val="single"/>
        </w:rPr>
        <w:t xml:space="preserve">         </w:t>
      </w:r>
      <w:r>
        <w:rPr>
          <w:rFonts w:ascii="SimSun" w:hAnsi="SimSun" w:eastAsia="SimSun" w:cs="SimSun"/>
          <w:color w:val="000000"/>
          <w:sz w:val="21"/>
        </w:rPr>
        <w:t xml:space="preserve">（单位名称）采购编号为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项目（分包号：</w:t>
      </w:r>
      <w:r>
        <w:rPr>
          <w:rFonts w:ascii="SimSun" w:hAnsi="SimSun" w:eastAsia="SimSun" w:cs="SimSun"/>
          <w:color w:val="000000"/>
          <w:sz w:val="21"/>
          <w:u w:val="single"/>
        </w:rPr>
        <w:t xml:space="preserve">   </w:t>
      </w:r>
      <w:r>
        <w:rPr>
          <w:rFonts w:ascii="SimSun" w:hAnsi="SimSun" w:eastAsia="SimSun" w:cs="SimSun"/>
          <w:color w:val="000000"/>
          <w:sz w:val="21"/>
        </w:rPr>
        <w:t xml:space="preserve">）的采购活动，提供本单位制造的货物，或者提供其他残疾人福利性单位制造的货物（不包括使用非残疾人福利性单位注册商标的货物）。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企业名称：（加盖电子公章）</w:t>
      </w:r>
      <w:r/>
    </w:p>
    <w:p>
      <w:pPr>
        <w:ind w:left="0" w:right="0" w:firstLine="60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1.投标人如不提供此声明函，价格将不作相应扣除。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2.中标人为残疾人福利性单位的，此声明函将随中标结果同时公告，接受社会监督。</w:t>
      </w:r>
      <w:r/>
    </w:p>
    <w:p>
      <w:pPr>
        <w:ind w:left="0" w:right="0" w:firstLine="624"/>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（联合体中各供应商全称）在此达成以下协议：</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Unicode MS" w:hAnsi="Arial Unicode MS" w:eastAsia="Arial Unicode MS" w:cs="Arial Unicode MS"/>
          <w:color w:val="000000"/>
          <w:sz w:val="24"/>
        </w:rPr>
        <w:t xml:space="preserve">我们</w:t>
      </w:r>
      <w:r>
        <w:rPr>
          <w:rFonts w:ascii="Arial Unicode MS" w:hAnsi="Arial Unicode MS" w:eastAsia="Arial Unicode MS" w:cs="Arial Unicode MS"/>
          <w:color w:val="000000"/>
          <w:sz w:val="24"/>
          <w:u w:val="single"/>
        </w:rPr>
        <w:t xml:space="preserve"> （供应商</w:t>
      </w:r>
      <w:r>
        <w:rPr>
          <w:rFonts w:ascii="SimSun" w:hAnsi="SimSun" w:eastAsia="SimSun" w:cs="SimSun"/>
          <w:color w:val="000000"/>
          <w:sz w:val="24"/>
          <w:u w:val="single"/>
        </w:rPr>
        <w:t xml:space="preserve">1</w:t>
      </w:r>
      <w:r>
        <w:rPr>
          <w:rFonts w:ascii="Arial Unicode MS" w:hAnsi="Arial Unicode MS" w:eastAsia="Arial Unicode MS" w:cs="Arial Unicode MS"/>
          <w:color w:val="000000"/>
          <w:sz w:val="24"/>
          <w:u w:val="single"/>
        </w:rPr>
        <w:t xml:space="preserve">），（供应商</w:t>
      </w:r>
      <w:r>
        <w:rPr>
          <w:rFonts w:ascii="SimSun" w:hAnsi="SimSun" w:eastAsia="SimSun" w:cs="SimSun"/>
          <w:color w:val="000000"/>
          <w:sz w:val="24"/>
          <w:u w:val="single"/>
        </w:rPr>
        <w:t xml:space="preserve">2</w:t>
      </w:r>
      <w:r>
        <w:rPr>
          <w:rFonts w:ascii="Arial Unicode MS" w:hAnsi="Arial Unicode MS" w:eastAsia="Arial Unicode MS" w:cs="Arial Unicode MS"/>
          <w:color w:val="000000"/>
          <w:sz w:val="24"/>
          <w:u w:val="single"/>
        </w:rPr>
        <w:t xml:space="preserve">） ，</w:t>
      </w:r>
      <w:r>
        <w:rPr>
          <w:rFonts w:ascii="SimSun" w:hAnsi="SimSun" w:eastAsia="SimSun" w:cs="SimSun"/>
          <w:color w:val="000000"/>
          <w:sz w:val="24"/>
          <w:u w:val="single"/>
        </w:rPr>
        <w:t xml:space="preserve">……</w:t>
      </w:r>
      <w:r>
        <w:rPr>
          <w:rFonts w:ascii="Arial Unicode MS" w:hAnsi="Arial Unicode MS" w:eastAsia="Arial Unicode MS" w:cs="Arial Unicode MS"/>
          <w:color w:val="000000"/>
          <w:sz w:val="24"/>
        </w:rPr>
        <w:t xml:space="preserve">自愿组成联合体，</w:t>
      </w:r>
      <w:r>
        <w:rPr>
          <w:rFonts w:ascii="SimSun" w:hAnsi="SimSun" w:eastAsia="SimSun" w:cs="SimSun"/>
          <w:color w:val="000000"/>
          <w:sz w:val="24"/>
        </w:rPr>
        <w:t xml:space="preserve">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w:t>
      </w:r>
      <w:r>
        <w:rPr>
          <w:rFonts w:ascii="Arial Unicode MS" w:hAnsi="Arial Unicode MS" w:eastAsia="Arial Unicode MS" w:cs="Arial Unicode MS"/>
          <w:color w:val="000000"/>
          <w:sz w:val="24"/>
        </w:rPr>
        <w:t xml:space="preserve">，并指定</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（供应商名称）为牵头单位。</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Unicode MS" w:hAnsi="Arial Unicode MS" w:eastAsia="Arial Unicode MS" w:cs="Arial Unicode MS"/>
          <w:color w:val="000000"/>
          <w:sz w:val="24"/>
        </w:rPr>
        <w:t xml:space="preserve">若我们联合中标，</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（供应商名称）实施项目中</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（工作内容）部分工作，并承担相应的责任；</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（供应商名称）实施项目中</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（工作内容）部分工作，并承担相应的责任；……。（注：需明确联合体中各供应商所承担的工作和相应的责任）。</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Unicode MS" w:hAnsi="Arial Unicode MS" w:eastAsia="Arial Unicode MS" w:cs="Arial Unicode MS"/>
          <w:color w:val="000000"/>
          <w:sz w:val="24"/>
        </w:rPr>
        <w:t xml:space="preserve">其中，</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（企业全称）为</w:t>
      </w:r>
      <w:r>
        <w:rPr>
          <w:rFonts w:ascii="Wingdings" w:hAnsi="Wingdings" w:eastAsia="Wingdings" w:cs="Wingdings"/>
          <w:color w:val="000000"/>
          <w:sz w:val="24"/>
        </w:rPr>
        <w:t xml:space="preserve">¨</w:t>
      </w:r>
      <w:r>
        <w:rPr>
          <w:rFonts w:ascii="Arial Unicode MS" w:hAnsi="Arial Unicode MS" w:eastAsia="Arial Unicode MS" w:cs="Arial Unicode MS"/>
          <w:color w:val="000000"/>
          <w:sz w:val="24"/>
        </w:rPr>
        <w:t xml:space="preserve">小型、微型企业 </w:t>
      </w:r>
      <w:r>
        <w:rPr>
          <w:rFonts w:ascii="Wingdings" w:hAnsi="Wingdings" w:eastAsia="Wingdings" w:cs="Wingdings"/>
          <w:color w:val="000000"/>
          <w:sz w:val="24"/>
        </w:rPr>
        <w:t xml:space="preserve">¨</w:t>
      </w:r>
      <w:r>
        <w:rPr>
          <w:rFonts w:ascii="Arial Unicode MS" w:hAnsi="Arial Unicode MS" w:eastAsia="Arial Unicode MS" w:cs="Arial Unicode MS"/>
          <w:color w:val="000000"/>
          <w:sz w:val="24"/>
        </w:rPr>
        <w:t xml:space="preserve">残疾人福利性单位 </w:t>
      </w:r>
      <w:r>
        <w:rPr>
          <w:rFonts w:ascii="Wingdings" w:hAnsi="Wingdings" w:eastAsia="Wingdings" w:cs="Wingdings"/>
          <w:color w:val="000000"/>
          <w:sz w:val="24"/>
        </w:rPr>
        <w:t xml:space="preserve">¨</w:t>
      </w:r>
      <w:r>
        <w:rPr>
          <w:rFonts w:ascii="Arial Unicode MS" w:hAnsi="Arial Unicode MS" w:eastAsia="Arial Unicode MS" w:cs="Arial Unicode MS"/>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Arial Unicode MS" w:hAnsi="Arial Unicode MS" w:eastAsia="Arial Unicode MS" w:cs="Arial Unicode MS"/>
          <w:color w:val="000000"/>
          <w:sz w:val="24"/>
        </w:rPr>
        <w:t xml:space="preserve">。</w:t>
      </w:r>
      <w:r/>
    </w:p>
    <w:p>
      <w:pPr>
        <w:ind w:left="0" w:right="0" w:firstLine="645"/>
        <w:spacing w:before="0" w:after="0" w:line="559"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 </w:t>
      </w:r>
      <w:r/>
    </w:p>
    <w:p>
      <w:pPr>
        <w:ind w:left="0" w:right="0" w:firstLine="645"/>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Unicode MS" w:hAnsi="Arial Unicode MS" w:eastAsia="Arial Unicode MS" w:cs="Arial Unicode MS"/>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联合体中各供应商全称：（加盖电子公章）</w:t>
      </w:r>
      <w:r>
        <w:rPr>
          <w:rFonts w:ascii="SimSun" w:hAnsi="SimSun" w:eastAsia="SimSun" w:cs="SimSun"/>
          <w:color w:val="000000"/>
          <w:sz w:val="24"/>
        </w:rPr>
        <w:t xml:space="preserve">    </w:t>
      </w:r>
      <w:r/>
    </w:p>
    <w:p>
      <w:pPr>
        <w:ind w:left="0" w:right="0" w:firstLine="5280"/>
        <w:spacing w:before="0" w:after="0" w:line="559"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日 期：</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Arial Unicode MS" w:hAnsi="Arial Unicode MS" w:eastAsia="Arial Unicode MS" w:cs="Arial Unicode MS"/>
          <w:color w:val="000000"/>
          <w:sz w:val="24"/>
        </w:rPr>
        <w:t xml:space="preserve">内打“</w:t>
      </w:r>
      <w:r>
        <w:rPr>
          <w:rFonts w:ascii="Arial" w:hAnsi="Arial" w:eastAsia="Arial" w:cs="Arial"/>
          <w:color w:val="000000"/>
          <w:sz w:val="24"/>
        </w:rPr>
        <w:t xml:space="preserve">√</w:t>
      </w:r>
      <w:r>
        <w:rPr>
          <w:rFonts w:ascii="Arial Unicode MS" w:hAnsi="Arial Unicode MS" w:eastAsia="Arial Unicode MS" w:cs="Arial Unicode MS"/>
          <w:color w:val="000000"/>
          <w:sz w:val="24"/>
        </w:rPr>
        <w:t xml:space="preserve">”。</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Unicode MS">
    <w:panose1 w:val="020B06040202020202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张静</cp:lastModifiedBy>
  <cp:revision>4</cp:revision>
  <dcterms:created xsi:type="dcterms:W3CDTF">2025-11-13T03:06:30Z</dcterms:created>
  <dcterms:modified xsi:type="dcterms:W3CDTF">2025-11-14T05:14:49Z</dcterms:modified>
</cp:coreProperties>
</file>